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19"/>
    <w:p>
      <w:pPr>
        <w:pStyle w:val="Heading1"/>
      </w:pPr>
      <w:r>
        <w:t xml:space="preserve">Homiletics Analysis: Leviticus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Leviticus 17–27 (The Holiness Code)</w:t>
      </w:r>
    </w:p>
    <w:p>
      <w:pPr>
        <w:pStyle w:val="BodyText"/>
      </w:pPr>
      <w:r>
        <w:t xml:space="preserve">Leviticus 19 sits within what scholars designate the Holiness Code, a section of legislation unified by the repeated divine refrain</w:t>
      </w:r>
      <w:r>
        <w:t xml:space="preserve"> </w:t>
      </w:r>
      <w:r>
        <w:rPr>
          <w:i/>
          <w:iCs/>
        </w:rPr>
        <w:t xml:space="preserve">“I am the LORD your God”</w:t>
      </w:r>
      <w:r>
        <w:t xml:space="preserve"> </w:t>
      </w:r>
      <w:r>
        <w:t xml:space="preserve">and its derivative imperative</w:t>
      </w:r>
      <w:r>
        <w:t xml:space="preserve"> </w:t>
      </w:r>
      <w:r>
        <w:rPr>
          <w:i/>
          <w:iCs/>
        </w:rPr>
        <w:t xml:space="preserve">“Be holy, for I am holy.”</w:t>
      </w:r>
      <w:r>
        <w:t xml:space="preserve"> </w:t>
      </w:r>
      <w:r>
        <w:t xml:space="preserve">Chapters 17–27 address Israel’s cultic purity, social ethics, sexual boundaries, sacred times, and covenant obligations as a consecrated national community. Within this unit, chapter 19 functions as the ethical and theological heart — a dense, wide-ranging catalogue of covenant obligations that spans worship, agriculture, labor relations, family life, legal justice, care for the vulnerable, sexual purity, and love of neighbor. It is the chapter where Leviticus most visibly touches every dimension of human life, making it the Holiness Code’s most comprehensive single statement of what consecrated life looks like on the ground.</w:t>
      </w:r>
    </w:p>
    <w:p>
      <w:pPr>
        <w:pStyle w:val="BodyText"/>
      </w:pPr>
      <w:r>
        <w:rPr>
          <w:b/>
          <w:bCs/>
        </w:rPr>
        <w:t xml:space="preserve">This Text — Content</w:t>
      </w:r>
    </w:p>
    <w:p>
      <w:pPr>
        <w:pStyle w:val="BodyText"/>
      </w:pPr>
      <w:r>
        <w:t xml:space="preserve">Leviticus 19 opens with the summary command:</w:t>
      </w:r>
      <w:r>
        <w:t xml:space="preserve"> </w:t>
      </w:r>
      <w:r>
        <w:rPr>
          <w:i/>
          <w:iCs/>
        </w:rPr>
        <w:t xml:space="preserve">“You shall be holy, for I the LORD your God am holy”</w:t>
      </w:r>
      <w:r>
        <w:t xml:space="preserve"> </w:t>
      </w:r>
      <w:r>
        <w:t xml:space="preserve">(v. 1–2). From this theological root, Moses delivers an extended, seemingly miscellaneous series of commandments touching reverence for parents and Sabbath (v. 3), prohibition of idolatry (v. 4), regulations for peace offerings (v. 5–8), gleaning laws protecting the poor and sojourner (v. 9–10), prohibitions on theft, lying, and swearing falsely (v. 11–12), protection of workers and the disabled (v. 13–14), impartial justice (v. 15), prohibition of slander and complicity in violence (v. 16), the inner obligation of honest rebuke rather than silent hatred (v. 17), and the climactic command to</w:t>
      </w:r>
      <w:r>
        <w:t xml:space="preserve"> </w:t>
      </w:r>
      <w:r>
        <w:rPr>
          <w:i/>
          <w:iCs/>
        </w:rPr>
        <w:t xml:space="preserve">“love your neighbor as yourself”</w:t>
      </w:r>
      <w:r>
        <w:t xml:space="preserve"> </w:t>
      </w:r>
      <w:r>
        <w:t xml:space="preserve">(v. 18). The chapter continues with prohibitions on mixing (v. 19), legislation regarding a slave woman (v. 20–22), regulations for fruit trees (v. 23–25), prohibitions on occult practices and pagan mourning rites (v. 26–28), prohibition of cultic prostitution of one’s daughter (v. 29), Sabbath and sanctuary reverence (v. 30), rejection of mediums and necromancers (v. 31), honoring the elderly (v. 32), justice and love toward the sojourner (v. 33–34), and honest weights and measures (v. 35–36). The chapter closes with a restatement of its governing motivation:</w:t>
      </w:r>
      <w:r>
        <w:t xml:space="preserve"> </w:t>
      </w:r>
      <w:r>
        <w:rPr>
          <w:i/>
          <w:iCs/>
        </w:rPr>
        <w:t xml:space="preserve">“I am the LORD your God, who brought you out of the land of Egypt”</w:t>
      </w:r>
      <w:r>
        <w:t xml:space="preserve"> </w:t>
      </w:r>
      <w:r>
        <w:t xml:space="preserve">(v. 36).</w:t>
      </w:r>
    </w:p>
    <w:p>
      <w:pPr>
        <w:pStyle w:val="BodyText"/>
      </w:pPr>
      <w:r>
        <w:rPr>
          <w:b/>
          <w:bCs/>
        </w:rPr>
        <w:t xml:space="preserve">This Text — Intent</w:t>
      </w:r>
    </w:p>
    <w:p>
      <w:pPr>
        <w:pStyle w:val="BodyText"/>
      </w:pPr>
      <w:r>
        <w:t xml:space="preserve">God’s intent through Leviticus 19 is to form a people whose entire common life — in worship, commerce, agriculture, family, courts, and community — is shaped by and reflective of His own character. The catalogue is not a checklist for individual moral performance but a portrait of a community that embodies divine holiness in every domain. God is seeking to do two things simultaneously: to root every specific obligation in His own identity (</w:t>
      </w:r>
      <w:r>
        <w:rPr>
          <w:i/>
          <w:iCs/>
        </w:rPr>
        <w:t xml:space="preserve">“I am the LORD”</w:t>
      </w:r>
      <w:r>
        <w:t xml:space="preserve"> </w:t>
      </w:r>
      <w:r>
        <w:t xml:space="preserve">appears at least fifteen times), and to demonstrate that holiness is not primarily cultic or ceremonial but thoroughly ethical and social. The effect intended is nothing less than a complete reorientation of Israel’s communal imagination — away from Egyptian and Canaanite models of society, toward a covenant community whose life is an enacted witness to who their God is.</w:t>
      </w:r>
    </w:p>
    <w:p>
      <w:r>
        <w:pict>
          <v:rect style="width:0;height:1.5pt" o:hralign="center" o:hrstd="t" o:hr="t"/>
        </w:pict>
      </w:r>
    </w:p>
    <w:p>
      <w:pPr>
        <w:pStyle w:val="FirstParagraph"/>
      </w:pPr>
      <w:r>
        <w:rPr>
          <w:b/>
          <w:bCs/>
        </w:rPr>
        <w:t xml:space="preserve">Subject Sentence:</w:t>
      </w:r>
      <w:r>
        <w:t xml:space="preserve"> </w:t>
      </w:r>
      <w:r>
        <w:t xml:space="preserve">God’s own holiness is the source, pattern, and motivation of Israel’s entire common life.</w:t>
      </w:r>
    </w:p>
    <w:p>
      <w:r>
        <w:pict>
          <v:rect style="width:0;height:1.5pt" o:hralign="center" o:hrstd="t" o:hr="t"/>
        </w:pict>
      </w:r>
    </w:p>
    <w:p>
      <w:pPr>
        <w:pStyle w:val="FirstParagraph"/>
      </w:pPr>
      <w:r>
        <w:rPr>
          <w:b/>
          <w:bCs/>
        </w:rPr>
        <w:t xml:space="preserve">Primary Claim:</w:t>
      </w:r>
      <w:r>
        <w:t xml:space="preserve"> </w:t>
      </w:r>
      <w:r>
        <w:t xml:space="preserve">Because the LORD Himself is holy, His people are called to embody that holiness in every domain of communal existence — and every specific obligation in this chapter is a concrete instance of what it looks like when a community takes its defining character from God rather than from the surrounding world.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the</w:t>
      </w:r>
      <w:r>
        <w:rPr>
          <w:b/>
          <w:bCs/>
        </w:rPr>
        <w:t xml:space="preserve"> </w:t>
      </w:r>
      <w:r>
        <w:rPr>
          <w:b/>
          <w:bCs/>
        </w:rPr>
        <w:t xml:space="preserve">“moral,”</w:t>
      </w:r>
      <w:r>
        <w:rPr>
          <w:b/>
          <w:bCs/>
        </w:rPr>
        <w:t xml:space="preserve"> </w:t>
      </w:r>
      <w:r>
        <w:rPr>
          <w:b/>
          <w:bCs/>
        </w:rPr>
        <w:t xml:space="preserve">“civil,”</w:t>
      </w:r>
      <w:r>
        <w:rPr>
          <w:b/>
          <w:bCs/>
        </w:rPr>
        <w:t xml:space="preserve"> </w:t>
      </w:r>
      <w:r>
        <w:rPr>
          <w:b/>
          <w:bCs/>
        </w:rPr>
        <w:t xml:space="preserve">and</w:t>
      </w:r>
      <w:r>
        <w:rPr>
          <w:b/>
          <w:bCs/>
        </w:rPr>
        <w:t xml:space="preserve"> </w:t>
      </w:r>
      <w:r>
        <w:rPr>
          <w:b/>
          <w:bCs/>
        </w:rPr>
        <w:t xml:space="preserve">“ceremonial”</w:t>
      </w:r>
      <w:r>
        <w:rPr>
          <w:b/>
          <w:bCs/>
        </w:rPr>
        <w:t xml:space="preserve"> </w:t>
      </w:r>
      <w:r>
        <w:rPr>
          <w:b/>
          <w:bCs/>
        </w:rPr>
        <w:t xml:space="preserve">categories</w:t>
      </w:r>
    </w:p>
    <w:p>
      <w:pPr>
        <w:pStyle w:val="BodyText"/>
      </w:pPr>
      <w:r>
        <w:t xml:space="preserve">The most significant hermeneutical challenge in Leviticus 19 is how to handle its apparent mixture of weighty ethical commands (love your neighbor, impartial justice, care for the poor) alongside regulations that seem minor or ceremonially obsolete (mixed fabrics, fruit tree regulations, beard-trimming prohibitions). The traditional Reformed approach, following Calvin, distinguishes the moral, civil, and ceremonial aspects of the Mosaic law: moral law (rooted in God’s character, permanently binding), civil law (Israel’s national legislation, expired with the theocracy but containing applicable equity), and ceremonial law (typological, fulfilled and therefore abrogated in Christ). Critics of this taxonomy — including many biblical theologians and some within the Reformed tradition — argue that Leviticus 19 resists these categories almost deliberately, weaving the Decalogue’s moral weight and the purity code’s ceremonial specifics into a single unified fabric governed by a single motivation:</w:t>
      </w:r>
      <w:r>
        <w:t xml:space="preserve"> </w:t>
      </w:r>
      <w:r>
        <w:t xml:space="preserve">“I am the LORD.”</w:t>
      </w:r>
    </w:p>
    <w:p>
      <w:pPr>
        <w:pStyle w:val="BodyText"/>
      </w:pPr>
      <w:r>
        <w:t xml:space="preserve">The Reformed verdict is not that the tripartite distinction is wrong, but that it must be applied</w:t>
      </w:r>
      <w:r>
        <w:t xml:space="preserve"> </w:t>
      </w:r>
      <w:r>
        <w:rPr>
          <w:i/>
          <w:iCs/>
        </w:rPr>
        <w:t xml:space="preserve">within the logic of the chapter rather than imposed upon it from outside</w:t>
      </w:r>
      <w:r>
        <w:t xml:space="preserve">. The mixed fabrics and beard prohibitions (v. 19, 27–28) are best understood as boundary markers — signs of Israel’s distinct identity as a people set apart — rather than as moral principles binding on all people in all times. Their abrogation in Christ is not arbitrary but follows the logic of Galatians 3 and Colossians 2: the boundary markers that distinguished Israel from the nations have been fulfilled in Christ, who is Himself the true boundary. The moral commands — love of neighbor, honest weights, care for the sojourner — carry the permanent force of God’s character and are not abrogated but</w:t>
      </w:r>
      <w:r>
        <w:t xml:space="preserve"> </w:t>
      </w:r>
      <w:r>
        <w:rPr>
          <w:i/>
          <w:iCs/>
        </w:rPr>
        <w:t xml:space="preserve">intensified</w:t>
      </w:r>
      <w:r>
        <w:t xml:space="preserve"> </w:t>
      </w:r>
      <w:r>
        <w:t xml:space="preserve">in Christ (Matthew 5:17, 22:39). The civil equity embedded in the gleaning laws, labor protections, and court regulations belongs to the</w:t>
      </w:r>
      <w:r>
        <w:t xml:space="preserve"> </w:t>
      </w:r>
      <w:r>
        <w:t xml:space="preserve">“general equity”</w:t>
      </w:r>
      <w:r>
        <w:t xml:space="preserve"> </w:t>
      </w:r>
      <w:r>
        <w:t xml:space="preserve">that Westminster Confession 19.4 identifies as still instructive even though the specific Israelite form has lapsed.</w:t>
      </w:r>
    </w:p>
    <w:p>
      <w:pPr>
        <w:pStyle w:val="BodyText"/>
      </w:pPr>
      <w:r>
        <w:t xml:space="preserve">This reading is preferred over the Lutheran approach (which tends to collapse the chapter into pure Law-function, producing convicting but not formative preaching) and the Dispensational approach (which tends to treat the chapter as purely Old Testament legislation with minimal New Testament relevance beyond proof-texting v. 18). The Reformed reading accounts for the chapter’s own logic — its persistent grounding in divine character rather than mere divine command — and explains why Jesus and Paul can cite this chapter as still operative while the entire sacrificial and purity code is abrogated.</w:t>
      </w:r>
    </w:p>
    <w:p>
      <w:pPr>
        <w:pStyle w:val="BodyText"/>
      </w:pPr>
      <w:r>
        <w:rPr>
          <w:b/>
          <w:bCs/>
        </w:rPr>
        <w:t xml:space="preserve">The scope of</w:t>
      </w:r>
      <w:r>
        <w:rPr>
          <w:b/>
          <w:bCs/>
        </w:rPr>
        <w:t xml:space="preserve"> </w:t>
      </w:r>
      <w:r>
        <w:rPr>
          <w:b/>
          <w:bCs/>
        </w:rPr>
        <w:t xml:space="preserve">“neighbor”</w:t>
      </w:r>
      <w:r>
        <w:rPr>
          <w:b/>
          <w:bCs/>
        </w:rPr>
        <w:t xml:space="preserve"> </w:t>
      </w:r>
      <w:r>
        <w:rPr>
          <w:b/>
          <w:bCs/>
        </w:rPr>
        <w:t xml:space="preserve">in verse 18</w:t>
      </w:r>
    </w:p>
    <w:p>
      <w:pPr>
        <w:pStyle w:val="BodyText"/>
      </w:pPr>
      <w:r>
        <w:t xml:space="preserve">A second significant interpretive issue is the scope of</w:t>
      </w:r>
      <w:r>
        <w:t xml:space="preserve"> </w:t>
      </w:r>
      <w:r>
        <w:t xml:space="preserve">“neighbor”</w:t>
      </w:r>
      <w:r>
        <w:t xml:space="preserve"> </w:t>
      </w:r>
      <w:r>
        <w:t xml:space="preserve">in verse 18. The immediate context suggests</w:t>
      </w:r>
      <w:r>
        <w:t xml:space="preserve"> </w:t>
      </w:r>
      <w:r>
        <w:t xml:space="preserve">“neighbor”</w:t>
      </w:r>
      <w:r>
        <w:t xml:space="preserve"> </w:t>
      </w:r>
      <w:r>
        <w:t xml:space="preserve">means a fellow Israelite, and verse 34 then explicitly extends the obligation to the sojourner. Some readings (particularly within Jewish tradition and some Baptist and Wesleyan readings) see this as a gradual expansion that Jesus radically universalizes in Luke 10 (the Good Samaritan). This is essentially correct and should be</w:t>
      </w:r>
      <w:r>
        <w:t xml:space="preserve"> </w:t>
      </w:r>
      <w:r>
        <w:rPr>
          <w:i/>
          <w:iCs/>
        </w:rPr>
        <w:t xml:space="preserve">acknowledged</w:t>
      </w:r>
      <w:r>
        <w:t xml:space="preserve"> </w:t>
      </w:r>
      <w:r>
        <w:t xml:space="preserve">as a genuine interpretive insight. The Reformed reading simply insists that the universalization in Jesus does not contradict Leviticus 19 but</w:t>
      </w:r>
      <w:r>
        <w:t xml:space="preserve"> </w:t>
      </w:r>
      <w:r>
        <w:rPr>
          <w:i/>
          <w:iCs/>
        </w:rPr>
        <w:t xml:space="preserve">fulfills its trajectory</w:t>
      </w:r>
      <w:r>
        <w:t xml:space="preserve">: the chapter already includes the sojourner (v. 34), and Christ’s new covenant community redraws the boundary around all who bear the image of God and especially all who belong to the household of faith.</w:t>
      </w:r>
    </w:p>
    <w:p>
      <w:pPr>
        <w:pStyle w:val="BodyText"/>
      </w:pPr>
      <w:r>
        <w:rPr>
          <w:b/>
          <w:bCs/>
        </w:rPr>
        <w:t xml:space="preserve">The unity of the chapter’s</w:t>
      </w:r>
      <w:r>
        <w:rPr>
          <w:b/>
          <w:bCs/>
        </w:rPr>
        <w:t xml:space="preserve"> </w:t>
      </w:r>
      <w:r>
        <w:rPr>
          <w:b/>
          <w:bCs/>
        </w:rPr>
        <w:t xml:space="preserve">“miscellaneous”</w:t>
      </w:r>
      <w:r>
        <w:rPr>
          <w:b/>
          <w:bCs/>
        </w:rPr>
        <w:t xml:space="preserve"> </w:t>
      </w:r>
      <w:r>
        <w:rPr>
          <w:b/>
          <w:bCs/>
        </w:rPr>
        <w:t xml:space="preserve">catalogue</w:t>
      </w:r>
    </w:p>
    <w:p>
      <w:pPr>
        <w:pStyle w:val="BodyText"/>
      </w:pPr>
      <w:r>
        <w:t xml:space="preserve">Some readers find the chapter’s structure incoherent — a random collection of rules without unifying logic. Careful reading reveals otherwise. The chapter is unified not by topical arrangement but by</w:t>
      </w:r>
      <w:r>
        <w:t xml:space="preserve"> </w:t>
      </w:r>
      <w:r>
        <w:rPr>
          <w:i/>
          <w:iCs/>
        </w:rPr>
        <w:t xml:space="preserve">theological refrain</w:t>
      </w:r>
      <w:r>
        <w:t xml:space="preserve">: every obligation, however varied its domain, is anchored in</w:t>
      </w:r>
      <w:r>
        <w:t xml:space="preserve"> </w:t>
      </w:r>
      <w:r>
        <w:t xml:space="preserve">“I am the LORD.”</w:t>
      </w:r>
      <w:r>
        <w:t xml:space="preserve"> </w:t>
      </w:r>
      <w:r>
        <w:t xml:space="preserve">The structure is liturgical and oral rather than systematic and categorical. The intent is cumulative: the hearer is meant to feel the comprehensiveness —</w:t>
      </w:r>
      <w:r>
        <w:t xml:space="preserve"> </w:t>
      </w:r>
      <w:r>
        <w:rPr>
          <w:i/>
          <w:iCs/>
        </w:rPr>
        <w:t xml:space="preserve">there is no domain of life outside the reach of holiness</w:t>
      </w:r>
      <w:r>
        <w:t xml:space="preserve">. This is not a pitfall to refute in other traditions so much as a hermeneutical key that many expositors miss, reducing the chapter to proof-texts rather than preaching its total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19:5–6</w:t>
      </w:r>
      <w:r>
        <w:t xml:space="preserve"> </w:t>
      </w:r>
      <w:r>
        <w:t xml:space="preserve">— The covenant framework for the holiness call: Israel is to be</w:t>
      </w:r>
      <w:r>
        <w:t xml:space="preserve"> </w:t>
      </w:r>
      <w:r>
        <w:t xml:space="preserve">“a kingdom of priests and a holy nation,”</w:t>
      </w:r>
      <w:r>
        <w:t xml:space="preserve"> </w:t>
      </w:r>
      <w:r>
        <w:t xml:space="preserve">giving Leviticus 19 its covenantal grounding. Israel’s holiness is not self-generated but flows from her status as the LORD’s treasured possession.</w:t>
      </w:r>
    </w:p>
    <w:p>
      <w:pPr>
        <w:numPr>
          <w:ilvl w:val="0"/>
          <w:numId w:val="1001"/>
        </w:numPr>
      </w:pPr>
      <w:r>
        <w:rPr>
          <w:b/>
          <w:bCs/>
        </w:rPr>
        <w:t xml:space="preserve">Deuteronomy 6:4–9 (The Shema)</w:t>
      </w:r>
      <w:r>
        <w:t xml:space="preserve"> </w:t>
      </w:r>
      <w:r>
        <w:t xml:space="preserve">— Love of God as the root from which love of neighbor (Leviticus 19:18) grows; Deuteronomy shows that the commandments of Leviticus are meant to be internalized and enacted in all of life, not merely performed externally.</w:t>
      </w:r>
    </w:p>
    <w:p>
      <w:pPr>
        <w:numPr>
          <w:ilvl w:val="0"/>
          <w:numId w:val="1001"/>
        </w:numPr>
      </w:pPr>
      <w:r>
        <w:rPr>
          <w:b/>
          <w:bCs/>
        </w:rPr>
        <w:t xml:space="preserve">Matthew 22:37–40</w:t>
      </w:r>
      <w:r>
        <w:t xml:space="preserve"> </w:t>
      </w:r>
      <w:r>
        <w:t xml:space="preserve">— Jesus explicitly identifies Leviticus 19:18 as one of the two greatest commandments on which</w:t>
      </w:r>
      <w:r>
        <w:t xml:space="preserve"> </w:t>
      </w:r>
      <w:r>
        <w:t xml:space="preserve">“all the Law and the Prophets hang,”</w:t>
      </w:r>
      <w:r>
        <w:t xml:space="preserve"> </w:t>
      </w:r>
      <w:r>
        <w:t xml:space="preserve">establishing that Leviticus 19’s ethical center is not antiquated but is the permanent moral heart of Scripture.</w:t>
      </w:r>
    </w:p>
    <w:p>
      <w:pPr>
        <w:numPr>
          <w:ilvl w:val="0"/>
          <w:numId w:val="1001"/>
        </w:numPr>
      </w:pPr>
      <w:r>
        <w:rPr>
          <w:b/>
          <w:bCs/>
        </w:rPr>
        <w:t xml:space="preserve">Romans 13:8–10</w:t>
      </w:r>
      <w:r>
        <w:t xml:space="preserve"> </w:t>
      </w:r>
      <w:r>
        <w:t xml:space="preserve">— Paul’s citation of the neighbor-love command as the fulfillment of the law confirms the Reformed reading: the moral equity of Leviticus 19 is not abrogated but crystallized and intensified in the new covenant community’s life of love.</w:t>
      </w:r>
    </w:p>
    <w:p>
      <w:pPr>
        <w:numPr>
          <w:ilvl w:val="0"/>
          <w:numId w:val="1001"/>
        </w:numPr>
      </w:pPr>
      <w:r>
        <w:rPr>
          <w:b/>
          <w:bCs/>
        </w:rPr>
        <w:t xml:space="preserve">1 Peter 1:15–16</w:t>
      </w:r>
      <w:r>
        <w:t xml:space="preserve"> </w:t>
      </w:r>
      <w:r>
        <w:t xml:space="preserve">— Peter’s direct quotation of Leviticus 19:2 (</w:t>
      </w:r>
      <w:r>
        <w:t xml:space="preserve">“Be holy, for I am holy”</w:t>
      </w:r>
      <w:r>
        <w:t xml:space="preserve">) applied to the new covenant church establishes that this chapter’s governing imperative belongs to the people of God in every age, not only to national Israel.</w:t>
      </w:r>
    </w:p>
    <w:p>
      <w:r>
        <w:pict>
          <v:rect style="width:0;height:1.5pt" o:hralign="center" o:hrstd="t" o:hr="t"/>
        </w:pict>
      </w:r>
    </w:p>
    <w:p>
      <w:pPr>
        <w:pStyle w:val="FirstParagraph"/>
      </w:pPr>
      <w:r>
        <w:rPr>
          <w:b/>
          <w:bCs/>
        </w:rPr>
        <w:t xml:space="preserve">Aim:</w:t>
      </w:r>
      <w:r>
        <w:t xml:space="preserve"> </w:t>
      </w:r>
      <w:r>
        <w:t xml:space="preserve">To demonstrate that the holiness God requires of His people is not a ceremonial category but a comprehensive social and moral reality rooted entirely in who God is, and to call the reader to a thoroughgoing communal ethic shaped by divine character rather than cultural accommodation.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Israel to be holy because He is holy</w:t>
            </w:r>
          </w:p>
        </w:tc>
        <w:tc>
          <w:tcPr/>
          <w:p>
            <w:pPr>
              <w:pStyle w:val="Compact"/>
            </w:pPr>
            <w:r>
              <w:t xml:space="preserve">Governing imperative; all that follows is an exposition of this</w:t>
            </w:r>
          </w:p>
        </w:tc>
      </w:tr>
      <w:tr>
        <w:tc>
          <w:tcPr/>
          <w:p>
            <w:pPr>
              <w:pStyle w:val="Compact"/>
            </w:pPr>
            <w:r>
              <w:t xml:space="preserve">3</w:t>
            </w:r>
          </w:p>
        </w:tc>
        <w:tc>
          <w:tcPr/>
          <w:p>
            <w:pPr>
              <w:pStyle w:val="Compact"/>
            </w:pPr>
            <w:r>
              <w:t xml:space="preserve">Reverence for parents; Sabbath observance</w:t>
            </w:r>
          </w:p>
        </w:tc>
        <w:tc>
          <w:tcPr/>
          <w:p>
            <w:pPr>
              <w:pStyle w:val="Compact"/>
            </w:pPr>
            <w:r>
              <w:t xml:space="preserve">Decalogue echoes; first specific applications</w:t>
            </w:r>
          </w:p>
        </w:tc>
      </w:tr>
      <w:tr>
        <w:tc>
          <w:tcPr/>
          <w:p>
            <w:pPr>
              <w:pStyle w:val="Compact"/>
            </w:pPr>
            <w:r>
              <w:t xml:space="preserve">4</w:t>
            </w:r>
          </w:p>
        </w:tc>
        <w:tc>
          <w:tcPr/>
          <w:p>
            <w:pPr>
              <w:pStyle w:val="Compact"/>
            </w:pPr>
            <w:r>
              <w:t xml:space="preserve">Prohibition of idols and cast images</w:t>
            </w:r>
          </w:p>
        </w:tc>
        <w:tc>
          <w:tcPr/>
          <w:p>
            <w:pPr>
              <w:pStyle w:val="Compact"/>
            </w:pPr>
            <w:r>
              <w:t xml:space="preserve">Holiness requires exclusive devotion to the LORD</w:t>
            </w:r>
          </w:p>
        </w:tc>
      </w:tr>
      <w:tr>
        <w:tc>
          <w:tcPr/>
          <w:p>
            <w:pPr>
              <w:pStyle w:val="Compact"/>
            </w:pPr>
            <w:r>
              <w:t xml:space="preserve">5–8</w:t>
            </w:r>
          </w:p>
        </w:tc>
        <w:tc>
          <w:tcPr/>
          <w:p>
            <w:pPr>
              <w:pStyle w:val="Compact"/>
            </w:pPr>
            <w:r>
              <w:t xml:space="preserve">Regulations for the peace offering; eating within proper time</w:t>
            </w:r>
          </w:p>
        </w:tc>
        <w:tc>
          <w:tcPr/>
          <w:p>
            <w:pPr>
              <w:pStyle w:val="Compact"/>
            </w:pPr>
            <w:r>
              <w:t xml:space="preserve">Holiness governs worship practice and its boundaries</w:t>
            </w:r>
          </w:p>
        </w:tc>
      </w:tr>
      <w:tr>
        <w:tc>
          <w:tcPr/>
          <w:p>
            <w:pPr>
              <w:pStyle w:val="Compact"/>
            </w:pPr>
            <w:r>
              <w:t xml:space="preserve">9–10</w:t>
            </w:r>
          </w:p>
        </w:tc>
        <w:tc>
          <w:tcPr/>
          <w:p>
            <w:pPr>
              <w:pStyle w:val="Compact"/>
            </w:pPr>
            <w:r>
              <w:t xml:space="preserve">Gleaning laws: leave portions for the poor and sojourner</w:t>
            </w:r>
          </w:p>
        </w:tc>
        <w:tc>
          <w:tcPr/>
          <w:p>
            <w:pPr>
              <w:pStyle w:val="Compact"/>
            </w:pPr>
            <w:r>
              <w:t xml:space="preserve">Holiness expressed in economic provision for the vulnerable</w:t>
            </w:r>
          </w:p>
        </w:tc>
      </w:tr>
      <w:tr>
        <w:tc>
          <w:tcPr/>
          <w:p>
            <w:pPr>
              <w:pStyle w:val="Compact"/>
            </w:pPr>
            <w:r>
              <w:t xml:space="preserve">11–12</w:t>
            </w:r>
          </w:p>
        </w:tc>
        <w:tc>
          <w:tcPr/>
          <w:p>
            <w:pPr>
              <w:pStyle w:val="Compact"/>
            </w:pPr>
            <w:r>
              <w:t xml:space="preserve">No stealing, lying, or false swearing by God’s name</w:t>
            </w:r>
          </w:p>
        </w:tc>
        <w:tc>
          <w:tcPr/>
          <w:p>
            <w:pPr>
              <w:pStyle w:val="Compact"/>
            </w:pPr>
            <w:r>
              <w:t xml:space="preserve">Decalogue echoes; holiness requires integrity in speech and property</w:t>
            </w:r>
          </w:p>
        </w:tc>
      </w:tr>
      <w:tr>
        <w:tc>
          <w:tcPr/>
          <w:p>
            <w:pPr>
              <w:pStyle w:val="Compact"/>
            </w:pPr>
            <w:r>
              <w:t xml:space="preserve">13</w:t>
            </w:r>
          </w:p>
        </w:tc>
        <w:tc>
          <w:tcPr/>
          <w:p>
            <w:pPr>
              <w:pStyle w:val="Compact"/>
            </w:pPr>
            <w:r>
              <w:t xml:space="preserve">No oppression or robbery; pay workers promptly</w:t>
            </w:r>
          </w:p>
        </w:tc>
        <w:tc>
          <w:tcPr/>
          <w:p>
            <w:pPr>
              <w:pStyle w:val="Compact"/>
            </w:pPr>
            <w:r>
              <w:t xml:space="preserve">Holiness protects the economically vulnerable from exploitation</w:t>
            </w:r>
          </w:p>
        </w:tc>
      </w:tr>
      <w:tr>
        <w:tc>
          <w:tcPr/>
          <w:p>
            <w:pPr>
              <w:pStyle w:val="Compact"/>
            </w:pPr>
            <w:r>
              <w:t xml:space="preserve">14</w:t>
            </w:r>
          </w:p>
        </w:tc>
        <w:tc>
          <w:tcPr/>
          <w:p>
            <w:pPr>
              <w:pStyle w:val="Compact"/>
            </w:pPr>
            <w:r>
              <w:t xml:space="preserve">No cursing the deaf; no stumbling block before the blind; fear God</w:t>
            </w:r>
          </w:p>
        </w:tc>
        <w:tc>
          <w:tcPr/>
          <w:p>
            <w:pPr>
              <w:pStyle w:val="Compact"/>
            </w:pPr>
            <w:r>
              <w:t xml:space="preserve">Holiness extends to those who cannot defend themselves</w:t>
            </w:r>
          </w:p>
        </w:tc>
      </w:tr>
      <w:tr>
        <w:tc>
          <w:tcPr/>
          <w:p>
            <w:pPr>
              <w:pStyle w:val="Compact"/>
            </w:pPr>
            <w:r>
              <w:t xml:space="preserve">15</w:t>
            </w:r>
          </w:p>
        </w:tc>
        <w:tc>
          <w:tcPr/>
          <w:p>
            <w:pPr>
              <w:pStyle w:val="Compact"/>
            </w:pPr>
            <w:r>
              <w:t xml:space="preserve">Impartial justice; no partiality to rich or poor</w:t>
            </w:r>
          </w:p>
        </w:tc>
        <w:tc>
          <w:tcPr/>
          <w:p>
            <w:pPr>
              <w:pStyle w:val="Compact"/>
            </w:pPr>
            <w:r>
              <w:t xml:space="preserve">Holiness in the courts requires equity regardless of social standing</w:t>
            </w:r>
          </w:p>
        </w:tc>
      </w:tr>
      <w:tr>
        <w:tc>
          <w:tcPr/>
          <w:p>
            <w:pPr>
              <w:pStyle w:val="Compact"/>
            </w:pPr>
            <w:r>
              <w:t xml:space="preserve">16</w:t>
            </w:r>
          </w:p>
        </w:tc>
        <w:tc>
          <w:tcPr/>
          <w:p>
            <w:pPr>
              <w:pStyle w:val="Compact"/>
            </w:pPr>
            <w:r>
              <w:t xml:space="preserve">No slander; no standing by neighbor’s blood</w:t>
            </w:r>
          </w:p>
        </w:tc>
        <w:tc>
          <w:tcPr/>
          <w:p>
            <w:pPr>
              <w:pStyle w:val="Compact"/>
            </w:pPr>
            <w:r>
              <w:t xml:space="preserve">Holiness forbids complicity in harm through speech or silence</w:t>
            </w:r>
          </w:p>
        </w:tc>
      </w:tr>
      <w:tr>
        <w:tc>
          <w:tcPr/>
          <w:p>
            <w:pPr>
              <w:pStyle w:val="Compact"/>
            </w:pPr>
            <w:r>
              <w:t xml:space="preserve">17</w:t>
            </w:r>
          </w:p>
        </w:tc>
        <w:tc>
          <w:tcPr/>
          <w:p>
            <w:pPr>
              <w:pStyle w:val="Compact"/>
            </w:pPr>
            <w:r>
              <w:t xml:space="preserve">No hatred in heart; rebuke neighbor rather than bear sin</w:t>
            </w:r>
          </w:p>
        </w:tc>
        <w:tc>
          <w:tcPr/>
          <w:p>
            <w:pPr>
              <w:pStyle w:val="Compact"/>
            </w:pPr>
            <w:r>
              <w:t xml:space="preserve">Holiness requires honest, caring confrontation, not silent resentment</w:t>
            </w:r>
          </w:p>
        </w:tc>
      </w:tr>
      <w:tr>
        <w:tc>
          <w:tcPr/>
          <w:p>
            <w:pPr>
              <w:pStyle w:val="Compact"/>
            </w:pPr>
            <w:r>
              <w:t xml:space="preserve">18</w:t>
            </w:r>
          </w:p>
        </w:tc>
        <w:tc>
          <w:tcPr/>
          <w:p>
            <w:pPr>
              <w:pStyle w:val="Compact"/>
            </w:pPr>
            <w:r>
              <w:t xml:space="preserve">Love your neighbor as yourself; I am the LORD</w:t>
            </w:r>
          </w:p>
        </w:tc>
        <w:tc>
          <w:tcPr/>
          <w:p>
            <w:pPr>
              <w:pStyle w:val="Compact"/>
            </w:pPr>
            <w:r>
              <w:t xml:space="preserve">The ethical climax of the chapter</w:t>
            </w:r>
          </w:p>
        </w:tc>
      </w:tr>
      <w:tr>
        <w:tc>
          <w:tcPr/>
          <w:p>
            <w:pPr>
              <w:pStyle w:val="Compact"/>
            </w:pPr>
            <w:r>
              <w:t xml:space="preserve">19</w:t>
            </w:r>
          </w:p>
        </w:tc>
        <w:tc>
          <w:tcPr/>
          <w:p>
            <w:pPr>
              <w:pStyle w:val="Compact"/>
            </w:pPr>
            <w:r>
              <w:t xml:space="preserve">No mixing of cattle, seed, or fabric types</w:t>
            </w:r>
          </w:p>
        </w:tc>
        <w:tc>
          <w:tcPr/>
          <w:p>
            <w:pPr>
              <w:pStyle w:val="Compact"/>
            </w:pPr>
            <w:r>
              <w:t xml:space="preserve">Boundary marker: Israel’s distinctness must be visibly maintained</w:t>
            </w:r>
          </w:p>
        </w:tc>
      </w:tr>
      <w:tr>
        <w:tc>
          <w:tcPr/>
          <w:p>
            <w:pPr>
              <w:pStyle w:val="Compact"/>
            </w:pPr>
            <w:r>
              <w:t xml:space="preserve">20–22</w:t>
            </w:r>
          </w:p>
        </w:tc>
        <w:tc>
          <w:tcPr/>
          <w:p>
            <w:pPr>
              <w:pStyle w:val="Compact"/>
            </w:pPr>
            <w:r>
              <w:t xml:space="preserve">Legislation regarding relations with an unbetrothed slave woman</w:t>
            </w:r>
          </w:p>
        </w:tc>
        <w:tc>
          <w:tcPr/>
          <w:p>
            <w:pPr>
              <w:pStyle w:val="Compact"/>
            </w:pPr>
            <w:r>
              <w:t xml:space="preserve">Holiness governs sexual conduct even in complex social circumstances</w:t>
            </w:r>
          </w:p>
        </w:tc>
      </w:tr>
      <w:tr>
        <w:tc>
          <w:tcPr/>
          <w:p>
            <w:pPr>
              <w:pStyle w:val="Compact"/>
            </w:pPr>
            <w:r>
              <w:t xml:space="preserve">23–25</w:t>
            </w:r>
          </w:p>
        </w:tc>
        <w:tc>
          <w:tcPr/>
          <w:p>
            <w:pPr>
              <w:pStyle w:val="Compact"/>
            </w:pPr>
            <w:r>
              <w:t xml:space="preserve">Fruit tree regulations: first three years forbidden; fourth year holy to LORD; fifth year may be eaten</w:t>
            </w:r>
          </w:p>
        </w:tc>
        <w:tc>
          <w:tcPr/>
          <w:p>
            <w:pPr>
              <w:pStyle w:val="Compact"/>
            </w:pPr>
            <w:r>
              <w:t xml:space="preserve">Holiness extends to agricultural life and its first-fruits logic</w:t>
            </w:r>
          </w:p>
        </w:tc>
      </w:tr>
      <w:tr>
        <w:tc>
          <w:tcPr/>
          <w:p>
            <w:pPr>
              <w:pStyle w:val="Compact"/>
            </w:pPr>
            <w:r>
              <w:t xml:space="preserve">26</w:t>
            </w:r>
          </w:p>
        </w:tc>
        <w:tc>
          <w:tcPr/>
          <w:p>
            <w:pPr>
              <w:pStyle w:val="Compact"/>
            </w:pPr>
            <w:r>
              <w:t xml:space="preserve">No eating with blood; no omens or divination</w:t>
            </w:r>
          </w:p>
        </w:tc>
        <w:tc>
          <w:tcPr/>
          <w:p>
            <w:pPr>
              <w:pStyle w:val="Compact"/>
            </w:pPr>
            <w:r>
              <w:t xml:space="preserve">Holiness rejects pagan cultic practices</w:t>
            </w:r>
          </w:p>
        </w:tc>
      </w:tr>
      <w:tr>
        <w:tc>
          <w:tcPr/>
          <w:p>
            <w:pPr>
              <w:pStyle w:val="Compact"/>
            </w:pPr>
            <w:r>
              <w:t xml:space="preserve">27–28</w:t>
            </w:r>
          </w:p>
        </w:tc>
        <w:tc>
          <w:tcPr/>
          <w:p>
            <w:pPr>
              <w:pStyle w:val="Compact"/>
            </w:pPr>
            <w:r>
              <w:t xml:space="preserve">No rounding of beards; no cuttings or tattoos for the dead</w:t>
            </w:r>
          </w:p>
        </w:tc>
        <w:tc>
          <w:tcPr/>
          <w:p>
            <w:pPr>
              <w:pStyle w:val="Compact"/>
            </w:pPr>
            <w:r>
              <w:t xml:space="preserve">Boundary markers distinguishing Israel from pagan mourning rites</w:t>
            </w:r>
          </w:p>
        </w:tc>
      </w:tr>
      <w:tr>
        <w:tc>
          <w:tcPr/>
          <w:p>
            <w:pPr>
              <w:pStyle w:val="Compact"/>
            </w:pPr>
            <w:r>
              <w:t xml:space="preserve">29</w:t>
            </w:r>
          </w:p>
        </w:tc>
        <w:tc>
          <w:tcPr/>
          <w:p>
            <w:pPr>
              <w:pStyle w:val="Compact"/>
            </w:pPr>
            <w:r>
              <w:t xml:space="preserve">Do not profane your daughter through cultic prostitution</w:t>
            </w:r>
          </w:p>
        </w:tc>
        <w:tc>
          <w:tcPr/>
          <w:p>
            <w:pPr>
              <w:pStyle w:val="Compact"/>
            </w:pPr>
            <w:r>
              <w:t xml:space="preserve">Holiness protects family life and rejects pagan religious practices</w:t>
            </w:r>
          </w:p>
        </w:tc>
      </w:tr>
      <w:tr>
        <w:tc>
          <w:tcPr/>
          <w:p>
            <w:pPr>
              <w:pStyle w:val="Compact"/>
            </w:pPr>
            <w:r>
              <w:t xml:space="preserve">30</w:t>
            </w:r>
          </w:p>
        </w:tc>
        <w:tc>
          <w:tcPr/>
          <w:p>
            <w:pPr>
              <w:pStyle w:val="Compact"/>
            </w:pPr>
            <w:r>
              <w:t xml:space="preserve">Keep Sabbaths; reverence the sanctuary</w:t>
            </w:r>
          </w:p>
        </w:tc>
        <w:tc>
          <w:tcPr/>
          <w:p>
            <w:pPr>
              <w:pStyle w:val="Compact"/>
            </w:pPr>
            <w:r>
              <w:t xml:space="preserve">Holiness in time and sacred space</w:t>
            </w:r>
          </w:p>
        </w:tc>
      </w:tr>
      <w:tr>
        <w:tc>
          <w:tcPr/>
          <w:p>
            <w:pPr>
              <w:pStyle w:val="Compact"/>
            </w:pPr>
            <w:r>
              <w:t xml:space="preserve">31</w:t>
            </w:r>
          </w:p>
        </w:tc>
        <w:tc>
          <w:tcPr/>
          <w:p>
            <w:pPr>
              <w:pStyle w:val="Compact"/>
            </w:pPr>
            <w:r>
              <w:t xml:space="preserve">Do not turn to mediums or necromancers</w:t>
            </w:r>
          </w:p>
        </w:tc>
        <w:tc>
          <w:tcPr/>
          <w:p>
            <w:pPr>
              <w:pStyle w:val="Compact"/>
            </w:pPr>
            <w:r>
              <w:t xml:space="preserve">Holiness rejects all occult substitutes for the LORD</w:t>
            </w:r>
          </w:p>
        </w:tc>
      </w:tr>
      <w:tr>
        <w:tc>
          <w:tcPr/>
          <w:p>
            <w:pPr>
              <w:pStyle w:val="Compact"/>
            </w:pPr>
            <w:r>
              <w:t xml:space="preserve">32</w:t>
            </w:r>
          </w:p>
        </w:tc>
        <w:tc>
          <w:tcPr/>
          <w:p>
            <w:pPr>
              <w:pStyle w:val="Compact"/>
            </w:pPr>
            <w:r>
              <w:t xml:space="preserve">Rise before the elderly; honor them; fear God</w:t>
            </w:r>
          </w:p>
        </w:tc>
        <w:tc>
          <w:tcPr/>
          <w:p>
            <w:pPr>
              <w:pStyle w:val="Compact"/>
            </w:pPr>
            <w:r>
              <w:t xml:space="preserve">Holiness expressed in communal respect for age and experience</w:t>
            </w:r>
          </w:p>
        </w:tc>
      </w:tr>
      <w:tr>
        <w:tc>
          <w:tcPr/>
          <w:p>
            <w:pPr>
              <w:pStyle w:val="Compact"/>
            </w:pPr>
            <w:r>
              <w:t xml:space="preserve">33–34</w:t>
            </w:r>
          </w:p>
        </w:tc>
        <w:tc>
          <w:tcPr/>
          <w:p>
            <w:pPr>
              <w:pStyle w:val="Compact"/>
            </w:pPr>
            <w:r>
              <w:t xml:space="preserve">Love the sojourner as yourself; remember Egypt</w:t>
            </w:r>
          </w:p>
        </w:tc>
        <w:tc>
          <w:tcPr/>
          <w:p>
            <w:pPr>
              <w:pStyle w:val="Compact"/>
            </w:pPr>
            <w:r>
              <w:t xml:space="preserve">The neighbor-love command explicitly extended to outsiders</w:t>
            </w:r>
          </w:p>
        </w:tc>
      </w:tr>
      <w:tr>
        <w:tc>
          <w:tcPr/>
          <w:p>
            <w:pPr>
              <w:pStyle w:val="Compact"/>
            </w:pPr>
            <w:r>
              <w:t xml:space="preserve">35–36</w:t>
            </w:r>
          </w:p>
        </w:tc>
        <w:tc>
          <w:tcPr/>
          <w:p>
            <w:pPr>
              <w:pStyle w:val="Compact"/>
            </w:pPr>
            <w:r>
              <w:t xml:space="preserve">No dishonest weights or measures; just balances required</w:t>
            </w:r>
          </w:p>
        </w:tc>
        <w:tc>
          <w:tcPr/>
          <w:p>
            <w:pPr>
              <w:pStyle w:val="Compact"/>
            </w:pPr>
            <w:r>
              <w:t xml:space="preserve">Holiness governs commerce and economic exchange</w:t>
            </w:r>
          </w:p>
        </w:tc>
      </w:tr>
      <w:tr>
        <w:tc>
          <w:tcPr/>
          <w:p>
            <w:pPr>
              <w:pStyle w:val="Compact"/>
            </w:pPr>
            <w:r>
              <w:t xml:space="preserve">36b–37</w:t>
            </w:r>
          </w:p>
        </w:tc>
        <w:tc>
          <w:tcPr/>
          <w:p>
            <w:pPr>
              <w:pStyle w:val="Compact"/>
            </w:pPr>
            <w:r>
              <w:t xml:space="preserve">“I am the LORD your God who brought you out of Egypt”</w:t>
            </w:r>
            <w:r>
              <w:t xml:space="preserve"> </w:t>
            </w:r>
            <w:r>
              <w:t xml:space="preserve">— keep all statutes</w:t>
            </w:r>
          </w:p>
        </w:tc>
        <w:tc>
          <w:tcPr/>
          <w:p>
            <w:pPr>
              <w:pStyle w:val="Compact"/>
            </w:pPr>
            <w:r>
              <w:t xml:space="preserve">Exodus-grounded motivation restated as closing bracket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Root: Be Holy Because I Am Holy</w:t>
            </w:r>
          </w:p>
        </w:tc>
      </w:tr>
      <w:tr>
        <w:tc>
          <w:tcPr/>
          <w:p>
            <w:pPr>
              <w:pStyle w:val="Compact"/>
            </w:pPr>
            <w:r>
              <w:t xml:space="preserve">2</w:t>
            </w:r>
          </w:p>
        </w:tc>
        <w:tc>
          <w:tcPr/>
          <w:p>
            <w:pPr>
              <w:pStyle w:val="Compact"/>
            </w:pPr>
            <w:r>
              <w:t xml:space="preserve">3–8</w:t>
            </w:r>
          </w:p>
        </w:tc>
        <w:tc>
          <w:tcPr/>
          <w:p>
            <w:pPr>
              <w:pStyle w:val="Compact"/>
            </w:pPr>
            <w:r>
              <w:t xml:space="preserve">Holiness in Worship and Family Reverence</w:t>
            </w:r>
          </w:p>
        </w:tc>
      </w:tr>
      <w:tr>
        <w:tc>
          <w:tcPr/>
          <w:p>
            <w:pPr>
              <w:pStyle w:val="Compact"/>
            </w:pPr>
            <w:r>
              <w:t xml:space="preserve">3</w:t>
            </w:r>
          </w:p>
        </w:tc>
        <w:tc>
          <w:tcPr/>
          <w:p>
            <w:pPr>
              <w:pStyle w:val="Compact"/>
            </w:pPr>
            <w:r>
              <w:t xml:space="preserve">9–18</w:t>
            </w:r>
          </w:p>
        </w:tc>
        <w:tc>
          <w:tcPr/>
          <w:p>
            <w:pPr>
              <w:pStyle w:val="Compact"/>
            </w:pPr>
            <w:r>
              <w:t xml:space="preserve">Holiness in Community: Justice, Honesty, and Love</w:t>
            </w:r>
          </w:p>
        </w:tc>
      </w:tr>
      <w:tr>
        <w:tc>
          <w:tcPr/>
          <w:p>
            <w:pPr>
              <w:pStyle w:val="Compact"/>
            </w:pPr>
            <w:r>
              <w:t xml:space="preserve">4</w:t>
            </w:r>
          </w:p>
        </w:tc>
        <w:tc>
          <w:tcPr/>
          <w:p>
            <w:pPr>
              <w:pStyle w:val="Compact"/>
            </w:pPr>
            <w:r>
              <w:t xml:space="preserve">19–28</w:t>
            </w:r>
          </w:p>
        </w:tc>
        <w:tc>
          <w:tcPr/>
          <w:p>
            <w:pPr>
              <w:pStyle w:val="Compact"/>
            </w:pPr>
            <w:r>
              <w:t xml:space="preserve">Holiness in Boundary-Keeping: Distinctness as Witness</w:t>
            </w:r>
          </w:p>
        </w:tc>
      </w:tr>
      <w:tr>
        <w:tc>
          <w:tcPr/>
          <w:p>
            <w:pPr>
              <w:pStyle w:val="Compact"/>
            </w:pPr>
            <w:r>
              <w:t xml:space="preserve">5</w:t>
            </w:r>
          </w:p>
        </w:tc>
        <w:tc>
          <w:tcPr/>
          <w:p>
            <w:pPr>
              <w:pStyle w:val="Compact"/>
            </w:pPr>
            <w:r>
              <w:t xml:space="preserve">29–36</w:t>
            </w:r>
          </w:p>
        </w:tc>
        <w:tc>
          <w:tcPr/>
          <w:p>
            <w:pPr>
              <w:pStyle w:val="Compact"/>
            </w:pPr>
            <w:r>
              <w:t xml:space="preserve">Holiness in Every Domain: Family, Time, Commerce, and the Outsider</w:t>
            </w:r>
          </w:p>
        </w:tc>
      </w:tr>
      <w:tr>
        <w:tc>
          <w:tcPr/>
          <w:p>
            <w:pPr>
              <w:pStyle w:val="Compact"/>
            </w:pPr>
            <w:r>
              <w:t xml:space="preserve">6</w:t>
            </w:r>
          </w:p>
        </w:tc>
        <w:tc>
          <w:tcPr/>
          <w:p>
            <w:pPr>
              <w:pStyle w:val="Compact"/>
            </w:pPr>
            <w:r>
              <w:t xml:space="preserve">36b–37</w:t>
            </w:r>
          </w:p>
        </w:tc>
        <w:tc>
          <w:tcPr/>
          <w:p>
            <w:pPr>
              <w:pStyle w:val="Compact"/>
            </w:pPr>
            <w:r>
              <w:t xml:space="preserve">The Motivation: The Redeeming LORD Who Brought You Out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own holiness is the source, pattern, and motivation of Israel’s entire common life.</w:t>
      </w:r>
    </w:p>
    <w:p>
      <w:pPr>
        <w:pStyle w:val="BodyText"/>
      </w:pPr>
      <w:r>
        <w:rPr>
          <w:b/>
          <w:bCs/>
        </w:rPr>
        <w:t xml:space="preserve">Primary Claim:</w:t>
      </w:r>
      <w:r>
        <w:t xml:space="preserve"> </w:t>
      </w:r>
      <w:r>
        <w:t xml:space="preserve">Because the LORD Himself is holy, His people are called to embody that holiness in every domain of communal existence — and every specific obligation in this chapter is a concrete instance of what it looks like when a community takes its defining character from God rather than from the surrounding world.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holiness as character-shaped social ethics, not religious performance.</w:t>
      </w:r>
      <w:r>
        <w:t xml:space="preserve"> </w:t>
      </w:r>
      <w:r>
        <w:t xml:space="preserve">The most common misunderstanding of holiness is that it belongs to the sanctuary — that it is about what you do in worship, what you avoid ceremonially, how you handle sacred things. Leviticus 19 dismantles this entirely. Holiness governs how you pay your workers, what you say in court, how you treat the deaf and the blind, whether your scales are honest, and whether you love your neighbor or merely tolerate him. The congregation needs to have its category of</w:t>
      </w:r>
      <w:r>
        <w:t xml:space="preserve"> </w:t>
      </w:r>
      <w:r>
        <w:t xml:space="preserve">“holy”</w:t>
      </w:r>
      <w:r>
        <w:t xml:space="preserve"> </w:t>
      </w:r>
      <w:r>
        <w:t xml:space="preserve">fundamentally rebuilt: holy is not a religious modifier attached to certain activities — it is the total character of a life shaped by God’s own character, pressing into every transaction, every relationship, every moment of social life.</w:t>
      </w:r>
    </w:p>
    <w:p>
      <w:pPr>
        <w:pStyle w:val="BodyText"/>
      </w:pPr>
      <w:r>
        <w:rPr>
          <w:b/>
          <w:bCs/>
        </w:rPr>
        <w:t xml:space="preserve">2. [Affections/Worship] — Feel the weight of</w:t>
      </w:r>
      <w:r>
        <w:rPr>
          <w:b/>
          <w:bCs/>
        </w:rPr>
        <w:t xml:space="preserve"> </w:t>
      </w:r>
      <w:r>
        <w:rPr>
          <w:b/>
          <w:bCs/>
        </w:rPr>
        <w:t xml:space="preserve">“I am the LORD”</w:t>
      </w:r>
      <w:r>
        <w:rPr>
          <w:b/>
          <w:bCs/>
        </w:rPr>
        <w:t xml:space="preserve"> </w:t>
      </w:r>
      <w:r>
        <w:rPr>
          <w:b/>
          <w:bCs/>
        </w:rPr>
        <w:t xml:space="preserve">as something other than a threat.</w:t>
      </w:r>
      <w:r>
        <w:t xml:space="preserve"> </w:t>
      </w:r>
      <w:r>
        <w:t xml:space="preserve">The refrain</w:t>
      </w:r>
      <w:r>
        <w:t xml:space="preserve"> </w:t>
      </w:r>
      <w:r>
        <w:t xml:space="preserve">“I am the LORD”</w:t>
      </w:r>
      <w:r>
        <w:t xml:space="preserve"> </w:t>
      </w:r>
      <w:r>
        <w:t xml:space="preserve">appears throughout this chapter as the reason for every obligation — not primarily as a threat of divine enforcement but as a statement of identity and relationship. God is not saying</w:t>
      </w:r>
      <w:r>
        <w:t xml:space="preserve"> </w:t>
      </w:r>
      <w:r>
        <w:t xml:space="preserve">“obey or else”</w:t>
      </w:r>
      <w:r>
        <w:t xml:space="preserve">; He is saying</w:t>
      </w:r>
      <w:r>
        <w:t xml:space="preserve"> </w:t>
      </w:r>
      <w:r>
        <w:t xml:space="preserve">“this is who I am, and because you belong to Me, this is who you are called to be.”</w:t>
      </w:r>
      <w:r>
        <w:t xml:space="preserve"> </w:t>
      </w:r>
      <w:r>
        <w:t xml:space="preserve">The congregation needs to feel this as motivationally transformative rather than merely coercive. The gleaning law is not a burden — it is an invitation to participate in God’s own generosity toward the poor. The honest weights requirement is not a regulation — it is a call to image God’s justice in the marketplace. Stir in the hearer a genuine desire to be like the God who is holy, not merely a fearful compliance with His commands.</w:t>
      </w:r>
    </w:p>
    <w:p>
      <w:pPr>
        <w:pStyle w:val="BodyText"/>
      </w:pPr>
      <w:r>
        <w:rPr>
          <w:b/>
          <w:bCs/>
        </w:rPr>
        <w:t xml:space="preserve">3. [Will/Behavior] — Identify one specific domain where cultural accommodation has replaced covenant character.</w:t>
      </w:r>
      <w:r>
        <w:t xml:space="preserve"> </w:t>
      </w:r>
      <w:r>
        <w:t xml:space="preserve">The chapter’s comprehensiveness is its most searching feature. It refuses to allow holiness to be quarantined in selected domains while the rest of life runs on cultural default. Every hearer has an area — perhaps in business practices, perhaps in how they treat employees or contractors, perhaps in their willingness to speak honest truth to a friend rather than preserve comfort, perhaps in their treatment of immigrants and outsiders — where the surrounding culture’s norms have quietly replaced the covenant community’s obligations. The application is specific and non-negotiable: identify that domain, name the cultural substitute that has been accepted, and take a concrete step this week toward the character this chapter requires.</w:t>
      </w:r>
    </w:p>
    <w:p>
      <w:pPr>
        <w:pStyle w:val="BodyText"/>
      </w:pPr>
      <w:r>
        <w:rPr>
          <w:b/>
          <w:bCs/>
        </w:rPr>
        <w:t xml:space="preserve">4. [Mind/Belief] — Understand that love of neighbor is not a New Testament upgrade but the ethical heart of the Old Testament.</w:t>
      </w:r>
      <w:r>
        <w:t xml:space="preserve"> </w:t>
      </w:r>
      <w:r>
        <w:t xml:space="preserve">A persistent misreading in evangelical preaching is that the Old Testament was about law and the New Testament is about love — and that Jesus introduced love as a corrective to Levitical legalism. Leviticus 19:18 and 19:34 dismantle this completely. The love command is not a New Testament innovation; it is the ethical climax of the Holiness Code, embedded in the Torah itself. What Jesus does in Matthew 22 is not replace Leviticus but reveal that Leviticus already contained what the whole law hangs upon. The congregation needs to understand that the God of Sinai and the God of the Sermon on the Mount are the same God, the same character, the same claim — and that dismissing the Old Testament as</w:t>
      </w:r>
      <w:r>
        <w:t xml:space="preserve"> </w:t>
      </w:r>
      <w:r>
        <w:t xml:space="preserve">“the law”</w:t>
      </w:r>
      <w:r>
        <w:t xml:space="preserve"> </w:t>
      </w:r>
      <w:r>
        <w:t xml:space="preserve">in contrast to</w:t>
      </w:r>
      <w:r>
        <w:t xml:space="preserve"> </w:t>
      </w:r>
      <w:r>
        <w:t xml:space="preserve">“the gospel of love”</w:t>
      </w:r>
      <w:r>
        <w:t xml:space="preserve"> </w:t>
      </w:r>
      <w:r>
        <w:t xml:space="preserve">is a fundamental misreading of both Testaments.</w:t>
      </w:r>
    </w:p>
    <w:p>
      <w:pPr>
        <w:pStyle w:val="BodyText"/>
      </w:pPr>
      <w:r>
        <w:rPr>
          <w:b/>
          <w:bCs/>
        </w:rPr>
        <w:t xml:space="preserve">5. [Will/Behavior] — Extend neighbor-love concretely to those the community is most tempted to exclude.</w:t>
      </w:r>
      <w:r>
        <w:t xml:space="preserve"> </w:t>
      </w:r>
      <w:r>
        <w:t xml:space="preserve">The chapter moves from neighbor (v. 18) to sojourner (v. 34) and grounds both commands in the same motivation:</w:t>
      </w:r>
      <w:r>
        <w:t xml:space="preserve"> </w:t>
      </w:r>
      <w:r>
        <w:t xml:space="preserve">“I am the LORD.”</w:t>
      </w:r>
      <w:r>
        <w:t xml:space="preserve"> </w:t>
      </w:r>
      <w:r>
        <w:t xml:space="preserve">The extension is not accidental — it is deliberate. God anticipates that Israel will find it natural to love those like themselves and will need explicit instruction to love those who are outsiders. Every congregation has its version of the sojourner — the racial, economic, social, or religious other whom the community is most tempted to treat as less than neighbor. The application is not abstract: identify who that person or group is in your specific community, and take the concrete form of love that Leviticus 19 demands — not sentiment, but the same justice, care, and honest dealing you would want for yourself.</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19 makes the most comprehensive single statement in the Torah about the relationship between God’s character and human social ethics. Its governing claim — that holiness is derived from and patterned on the LORD’s own character — establishes a theological principle of the first order: ethics is not autonomous but theonomous, grounded in who God is rather than in human consensus, social contract, or pragmatic utility. The chapter also demonstrates that God’s moral concern is total rather than selective — it encompasses the worker, the disabled, the poor, the court, the marketplace, the family, and the outsider without exception. Most significantly, the chapter’s persistent</w:t>
      </w:r>
      <w:r>
        <w:t xml:space="preserve"> </w:t>
      </w:r>
      <w:r>
        <w:t xml:space="preserve">“I am the LORD”</w:t>
      </w:r>
      <w:r>
        <w:t xml:space="preserve"> </w:t>
      </w:r>
      <w:r>
        <w:t xml:space="preserve">refrain establishes that motivation for covenant ethics is not primarily fear of punishment or desire for reward but participation in the character of the God who redeemed Israel from Egypt — a grace-prior, redemption-grounded ethic that anticipates the gospel logic of every Pauline imperative.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19 is foundational to the Reformed understanding of the law’s third use — that the law, far from being merely a schoolmaster that drives to Christ and then becomes obsolete, functions as a positive guide for the redeemed community’s grateful, Spirit-enabled obedience. The chapter’s structure — obligation grounded in God’s gracious identity and Israel’s redemption from Egypt — maps precisely onto the Reformed structure of the Decalogue: indicative before imperative, grace before demand, identity before obligation. The Westminster Confession’s doctrine of general equity (19.4) finds its richest illustration here: some specific Israelite forms have lapsed, but the moral equity embedded in gleaning laws, labor protections, honest weights, and neighbor-love remains as permanent instruction for the covenant community in every age. Critically, 1 Peter 1:15–16’s direct application of this chapter’s governing imperative to the new covenant church confirms the Reformed instinct that the church, as the new covenant Israel, inherits the moral substance of the Holiness Code and is called to embody it in its own cultural and social context.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Holiness is not a sanctuary category — it is a total way of life whose every specific obligation is rooted in the character of the God who redeemed you. If the LORD is your God, then the character He displays in justice, generosity, and neighbor-love is the character you are being formed into — in your business, your court, your field, your family, and your treatment of the outsider. There is no domain where culture gets to set the standard and God gets to be kept out. The God who said</w:t>
      </w:r>
      <w:r>
        <w:t xml:space="preserve"> </w:t>
      </w:r>
      <w:r>
        <w:rPr>
          <w:i/>
          <w:iCs/>
        </w:rPr>
        <w:t xml:space="preserve">“I am the LORD”</w:t>
      </w:r>
      <w:r>
        <w:t xml:space="preserve"> </w:t>
      </w:r>
      <w:r>
        <w:t xml:space="preserve">fifteen times in a single chapter is refusing to be compartmentalized, and He is calling His people to stop trying.</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chapter to a list of rules rather than preaching its governing logic.</w:t>
      </w:r>
      <w:r>
        <w:t xml:space="preserve"> </w:t>
      </w:r>
      <w:r>
        <w:t xml:space="preserve">The most common homiletical failure with Leviticus 19 is treating it as a collection of individual commandments to be addressed seriatim, rather than as a unified claim about the relationship between divine character and human social ethics. The result is a moralistic catalogue rather than an exposition of holiness. The preacher must open with and return to verse 2 repeatedly — every specific law is an instance of the governing principle, not an independent moral item.</w:t>
      </w:r>
    </w:p>
    <w:p>
      <w:pPr>
        <w:numPr>
          <w:ilvl w:val="0"/>
          <w:numId w:val="1002"/>
        </w:numPr>
      </w:pPr>
      <w:r>
        <w:rPr>
          <w:b/>
          <w:bCs/>
        </w:rPr>
        <w:t xml:space="preserve">Skipping over the</w:t>
      </w:r>
      <w:r>
        <w:rPr>
          <w:b/>
          <w:bCs/>
        </w:rPr>
        <w:t xml:space="preserve"> </w:t>
      </w:r>
      <w:r>
        <w:rPr>
          <w:b/>
          <w:bCs/>
        </w:rPr>
        <w:t xml:space="preserve">“strange”</w:t>
      </w:r>
      <w:r>
        <w:rPr>
          <w:b/>
          <w:bCs/>
        </w:rPr>
        <w:t xml:space="preserve"> </w:t>
      </w:r>
      <w:r>
        <w:rPr>
          <w:b/>
          <w:bCs/>
        </w:rPr>
        <w:t xml:space="preserve">commands or treating them as embarrassments.</w:t>
      </w:r>
      <w:r>
        <w:t xml:space="preserve"> </w:t>
      </w:r>
      <w:r>
        <w:t xml:space="preserve">Preachers uncomfortable with mixed fabrics, fruit tree regulations, or beard-trimming prohibitions tend either to skip them entirely or to apologize for them. Both moves undermine the chapter’s claim that holiness is comprehensive. These commands should be handled with canonical confidence: they are boundary markers whose specific form has been fulfilled in Christ (Galatians 3, Colossians 2), but they are not embarrassments — they are evidence that God’s claim extends to every dimension of life, including ones that seem trivial.</w:t>
      </w:r>
    </w:p>
    <w:p>
      <w:pPr>
        <w:numPr>
          <w:ilvl w:val="0"/>
          <w:numId w:val="1002"/>
        </w:numPr>
      </w:pPr>
      <w:r>
        <w:rPr>
          <w:b/>
          <w:bCs/>
        </w:rPr>
        <w:t xml:space="preserve">Preaching verse 18 as a New Testament sentiment smuggled into the Old Testament.</w:t>
      </w:r>
      <w:r>
        <w:t xml:space="preserve"> </w:t>
      </w:r>
      <w:r>
        <w:t xml:space="preserve">The command to love your neighbor as yourself is not an anomaly in Leviticus — it is the ethical climax of this chapter’s own argument. Preachers who treat it as a surprise (</w:t>
      </w:r>
      <w:r>
        <w:t xml:space="preserve">“even here, in Leviticus, we find love!”</w:t>
      </w:r>
      <w:r>
        <w:t xml:space="preserve">) inadvertently reinforce the misreading that the Old Testament is fundamentally about law and the New Testament is fundamentally about love. Verse 18 should be preached as what it is: the Torah’s own statement of its ethical center, which Jesus recognizes and crystallizes rather than invents.</w:t>
      </w:r>
    </w:p>
    <w:p>
      <w:pPr>
        <w:numPr>
          <w:ilvl w:val="0"/>
          <w:numId w:val="1002"/>
        </w:numPr>
      </w:pPr>
      <w:r>
        <w:rPr>
          <w:b/>
          <w:bCs/>
        </w:rPr>
        <w:t xml:space="preserve">Applying the gleaning laws, labor protections, and sojourner commands too abstractly.</w:t>
      </w:r>
      <w:r>
        <w:t xml:space="preserve"> </w:t>
      </w:r>
      <w:r>
        <w:t xml:space="preserve">These commands are concrete and specific in their Israelite form, and their application to contemporary congregations should be equally specific. Preaching that</w:t>
      </w:r>
      <w:r>
        <w:t xml:space="preserve"> </w:t>
      </w:r>
      <w:r>
        <w:t xml:space="preserve">“we should care for the poor”</w:t>
      </w:r>
      <w:r>
        <w:t xml:space="preserve"> </w:t>
      </w:r>
      <w:r>
        <w:t xml:space="preserve">in response to verses 9–10 has not done the work the text requires. The application should be as concrete as the command: what does your church’s economic practice look like in relation to the financially vulnerable? What does</w:t>
      </w:r>
      <w:r>
        <w:t xml:space="preserve"> </w:t>
      </w:r>
      <w:r>
        <w:t xml:space="preserve">“not oppressing the sojourner”</w:t>
      </w:r>
      <w:r>
        <w:t xml:space="preserve"> </w:t>
      </w:r>
      <w:r>
        <w:t xml:space="preserve">mean for a congregation in a community with a specific immigrant population?</w:t>
      </w:r>
    </w:p>
    <w:p>
      <w:pPr>
        <w:numPr>
          <w:ilvl w:val="0"/>
          <w:numId w:val="1002"/>
        </w:numPr>
      </w:pPr>
      <w:r>
        <w:rPr>
          <w:b/>
          <w:bCs/>
        </w:rPr>
        <w:t xml:space="preserve">Missing the Exodus motivation as the gospel engine of the chapter.</w:t>
      </w:r>
      <w:r>
        <w:t xml:space="preserve"> </w:t>
      </w:r>
      <w:r>
        <w:t xml:space="preserve">The closing verse (36b) grounds all the obligations in God’s redemptive act:</w:t>
      </w:r>
      <w:r>
        <w:t xml:space="preserve"> </w:t>
      </w:r>
      <w:r>
        <w:t xml:space="preserve">“I am the LORD your God, who brought you out of Egypt.”</w:t>
      </w:r>
      <w:r>
        <w:t xml:space="preserve"> </w:t>
      </w:r>
      <w:r>
        <w:t xml:space="preserve">This is not a decorative flourish — it is the motivational logic that distinguishes covenant ethics from moralism. The obligations of Leviticus 19 are not the</w:t>
      </w:r>
      <w:r>
        <w:t xml:space="preserve"> </w:t>
      </w:r>
      <w:r>
        <w:rPr>
          <w:i/>
          <w:iCs/>
        </w:rPr>
        <w:t xml:space="preserve">basis</w:t>
      </w:r>
      <w:r>
        <w:t xml:space="preserve"> </w:t>
      </w:r>
      <w:r>
        <w:t xml:space="preserve">of Israel’s relationship with God but the</w:t>
      </w:r>
      <w:r>
        <w:t xml:space="preserve"> </w:t>
      </w:r>
      <w:r>
        <w:rPr>
          <w:i/>
          <w:iCs/>
        </w:rPr>
        <w:t xml:space="preserve">shape</w:t>
      </w:r>
      <w:r>
        <w:t xml:space="preserve"> </w:t>
      </w:r>
      <w:r>
        <w:t xml:space="preserve">of a life already redeemed by grace. Preaching that begins with the obligations without grounding them in the prior grace of redemption will produce either guilt or pride — it will not produce the Spirit-enabled, grace-motivated obedience the text intends. Apply the same logic to the new covenant:</w:t>
      </w:r>
      <w:r>
        <w:t xml:space="preserve"> </w:t>
      </w:r>
      <w:r>
        <w:t xml:space="preserve">“we love because He first loved us”</w:t>
      </w:r>
      <w:r>
        <w:t xml:space="preserve"> </w:t>
      </w:r>
      <w:r>
        <w:t xml:space="preserve">(1 John 4:19) is the Leviticus 19 principle stated in its fullest gospel form.</w:t>
      </w:r>
    </w:p>
    <w:p>
      <w:pPr>
        <w:numPr>
          <w:ilvl w:val="0"/>
          <w:numId w:val="1002"/>
        </w:numPr>
      </w:pPr>
      <w:r>
        <w:rPr>
          <w:b/>
          <w:bCs/>
        </w:rPr>
        <w:t xml:space="preserve">Treating the chapter as applying only to individual behavior rather than to the community’s common life.</w:t>
      </w:r>
      <w:r>
        <w:t xml:space="preserve"> </w:t>
      </w:r>
      <w:r>
        <w:t xml:space="preserve">Virtually every command in Leviticus 19 is addressed to Israel as a community — the</w:t>
      </w:r>
      <w:r>
        <w:t xml:space="preserve"> </w:t>
      </w:r>
      <w:r>
        <w:t xml:space="preserve">“you”</w:t>
      </w:r>
      <w:r>
        <w:t xml:space="preserve"> </w:t>
      </w:r>
      <w:r>
        <w:t xml:space="preserve">is plural throughout in the Hebrew. The gleaning law, the honest court, the sojourner’s protection, the honest weights — these are descriptions of what the covenant</w:t>
      </w:r>
      <w:r>
        <w:t xml:space="preserve"> </w:t>
      </w:r>
      <w:r>
        <w:rPr>
          <w:i/>
          <w:iCs/>
        </w:rPr>
        <w:t xml:space="preserve">community</w:t>
      </w:r>
      <w:r>
        <w:t xml:space="preserve"> </w:t>
      </w:r>
      <w:r>
        <w:t xml:space="preserve">looks like, not merely what the individual believer does in isolation. Preaching this chapter only as a series of personal moral commitments misses its primary register: it is a portrait of a community whose common life is shaped by holiness. The church is the community to which this portrait now speaks.</w:t>
      </w:r>
    </w:p>
    <w:p>
      <w:r>
        <w:pict>
          <v:rect style="width:0;height:1.5pt" o:hralign="center" o:hrstd="t" o:hr="t"/>
        </w:pict>
      </w:r>
    </w:p>
    <w:p>
      <w:pPr>
        <w:pStyle w:val="FirstParagraph"/>
      </w:pPr>
      <w:r>
        <w:rPr>
          <w:i/>
          <w:iCs/>
        </w:rPr>
        <w:t xml:space="preserve">Framework: CLAUDE2.md — Bullmore Primary Claim methodology with Reformed homiletical principles. Analysis generated for 03 Leviticus 19.</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2026-07-14T21:01:42Z</dcterms:created>
  <dcterms:modified xsi:type="dcterms:W3CDTF">2026-07-14T21:01:42Z</dcterms:modified>
</cp:coreProperties>
</file>

<file path=docProps/custom.xml><?xml version="1.0" encoding="utf-8"?>
<Properties xmlns="http://schemas.openxmlformats.org/officeDocument/2006/custom-properties" xmlns:vt="http://schemas.openxmlformats.org/officeDocument/2006/docPropsVTypes"/>
</file>